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29" w:rsidRDefault="000D51CF" w:rsidP="009F58E8">
      <w:bookmarkStart w:id="0" w:name="_GoBack"/>
      <w:bookmarkEnd w:id="0"/>
      <w:r>
        <w:rPr>
          <w:lang w:val="sr-Cyrl-CS"/>
        </w:rPr>
        <w:t>REPUBLIKA</w:t>
      </w:r>
      <w:r w:rsidR="00857E29">
        <w:rPr>
          <w:lang w:val="sr-Cyrl-CS"/>
        </w:rPr>
        <w:t xml:space="preserve"> </w:t>
      </w:r>
      <w:r>
        <w:rPr>
          <w:lang w:val="sr-Cyrl-CS"/>
        </w:rPr>
        <w:t>SRBIJA</w:t>
      </w:r>
      <w:r w:rsidR="00857E29">
        <w:rPr>
          <w:lang w:val="sr-Cyrl-CS"/>
        </w:rPr>
        <w:tab/>
      </w:r>
      <w:r w:rsidR="00857E29">
        <w:rPr>
          <w:lang w:val="sr-Cyrl-CS"/>
        </w:rPr>
        <w:tab/>
      </w:r>
      <w:r w:rsidR="00857E29">
        <w:tab/>
      </w:r>
      <w:r w:rsidR="00857E29">
        <w:tab/>
      </w:r>
      <w:r w:rsidR="00857E29">
        <w:tab/>
      </w:r>
      <w:r w:rsidR="00857E29">
        <w:tab/>
      </w:r>
      <w:r w:rsidR="00857E29">
        <w:rPr>
          <w:lang w:val="sr-Cyrl-RS"/>
        </w:rPr>
        <w:tab/>
      </w:r>
    </w:p>
    <w:p w:rsidR="00857E29" w:rsidRDefault="000D51CF" w:rsidP="00857E29">
      <w:r>
        <w:rPr>
          <w:lang w:val="sr-Cyrl-CS"/>
        </w:rPr>
        <w:t>NARODNA</w:t>
      </w:r>
      <w:r w:rsidR="00857E2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7E29" w:rsidRDefault="000D51CF" w:rsidP="00857E29">
      <w:pPr>
        <w:rPr>
          <w:lang w:val="sr-Cyrl-RS"/>
        </w:rPr>
      </w:pPr>
      <w:r>
        <w:rPr>
          <w:lang w:val="sr-Cyrl-RS"/>
        </w:rPr>
        <w:t>Odbor</w:t>
      </w:r>
      <w:r w:rsidR="00857E29">
        <w:rPr>
          <w:lang w:val="sr-Cyrl-RS"/>
        </w:rPr>
        <w:t xml:space="preserve"> </w:t>
      </w:r>
      <w:r>
        <w:rPr>
          <w:lang w:val="sr-Cyrl-RS"/>
        </w:rPr>
        <w:t>za</w:t>
      </w:r>
      <w:r w:rsidR="00857E29">
        <w:rPr>
          <w:lang w:val="sr-Cyrl-RS"/>
        </w:rPr>
        <w:t xml:space="preserve"> </w:t>
      </w:r>
      <w:r>
        <w:rPr>
          <w:lang w:val="sr-Cyrl-RS"/>
        </w:rPr>
        <w:t>ustavna</w:t>
      </w:r>
      <w:r w:rsidR="00857E29">
        <w:rPr>
          <w:lang w:val="sr-Cyrl-RS"/>
        </w:rPr>
        <w:t xml:space="preserve"> </w:t>
      </w:r>
      <w:r>
        <w:rPr>
          <w:lang w:val="sr-Cyrl-RS"/>
        </w:rPr>
        <w:t>pitanja</w:t>
      </w:r>
      <w:r w:rsidR="00857E29">
        <w:rPr>
          <w:lang w:val="sr-Cyrl-RS"/>
        </w:rPr>
        <w:t xml:space="preserve"> </w:t>
      </w:r>
    </w:p>
    <w:p w:rsidR="00857E29" w:rsidRDefault="000D51CF" w:rsidP="00857E29">
      <w:pPr>
        <w:rPr>
          <w:lang w:val="sr-Cyrl-RS"/>
        </w:rPr>
      </w:pPr>
      <w:r>
        <w:rPr>
          <w:lang w:val="sr-Cyrl-RS"/>
        </w:rPr>
        <w:t>i</w:t>
      </w:r>
      <w:r w:rsidR="00857E2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7E29">
        <w:rPr>
          <w:lang w:val="sr-Cyrl-CS"/>
        </w:rPr>
        <w:t xml:space="preserve"> </w:t>
      </w:r>
    </w:p>
    <w:p w:rsidR="00857E29" w:rsidRPr="006F1135" w:rsidRDefault="00857E29" w:rsidP="00857E2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D51CF">
        <w:rPr>
          <w:lang w:val="sr-Cyrl-RS"/>
        </w:rPr>
        <w:t>B</w:t>
      </w:r>
      <w:r w:rsidR="000D51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</w:t>
      </w:r>
      <w:r>
        <w:t>1754</w:t>
      </w:r>
      <w:r>
        <w:rPr>
          <w:lang w:val="sr-Cyrl-RS"/>
        </w:rPr>
        <w:t>/23</w:t>
      </w:r>
    </w:p>
    <w:p w:rsidR="00857E29" w:rsidRDefault="00857E29" w:rsidP="00857E29">
      <w:pPr>
        <w:rPr>
          <w:lang w:val="sr-Cyrl-RS"/>
        </w:rPr>
      </w:pPr>
      <w:r>
        <w:rPr>
          <w:lang w:val="sr-Cyrl-RS"/>
        </w:rPr>
        <w:t xml:space="preserve">26. </w:t>
      </w:r>
      <w:r w:rsidR="000D51CF">
        <w:rPr>
          <w:lang w:val="sr-Cyrl-RS"/>
        </w:rPr>
        <w:t>oktobar</w:t>
      </w:r>
      <w:r>
        <w:rPr>
          <w:lang w:val="sr-Cyrl-RS"/>
        </w:rPr>
        <w:t xml:space="preserve"> 202</w:t>
      </w:r>
      <w:r>
        <w:t>3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D51CF">
        <w:rPr>
          <w:lang w:val="sr-Cyrl-CS"/>
        </w:rPr>
        <w:t>godine</w:t>
      </w:r>
    </w:p>
    <w:p w:rsidR="00857E29" w:rsidRDefault="000D51CF" w:rsidP="00857E29">
      <w:pPr>
        <w:spacing w:after="720"/>
        <w:rPr>
          <w:lang w:val="sr-Cyrl-CS"/>
        </w:rPr>
      </w:pPr>
      <w:r>
        <w:rPr>
          <w:lang w:val="sr-Cyrl-CS"/>
        </w:rPr>
        <w:t>B</w:t>
      </w:r>
      <w:r w:rsidR="00857E29">
        <w:rPr>
          <w:lang w:val="sr-Cyrl-CS"/>
        </w:rPr>
        <w:t xml:space="preserve"> </w:t>
      </w:r>
      <w:r>
        <w:rPr>
          <w:lang w:val="sr-Cyrl-CS"/>
        </w:rPr>
        <w:t>e</w:t>
      </w:r>
      <w:r w:rsidR="00857E29">
        <w:rPr>
          <w:lang w:val="sr-Cyrl-CS"/>
        </w:rPr>
        <w:t xml:space="preserve"> </w:t>
      </w:r>
      <w:r>
        <w:rPr>
          <w:lang w:val="sr-Cyrl-CS"/>
        </w:rPr>
        <w:t>o</w:t>
      </w:r>
      <w:r w:rsidR="00857E29">
        <w:rPr>
          <w:lang w:val="sr-Cyrl-CS"/>
        </w:rPr>
        <w:t xml:space="preserve"> </w:t>
      </w:r>
      <w:r>
        <w:rPr>
          <w:lang w:val="sr-Cyrl-CS"/>
        </w:rPr>
        <w:t>g</w:t>
      </w:r>
      <w:r w:rsidR="00857E29">
        <w:rPr>
          <w:lang w:val="sr-Cyrl-CS"/>
        </w:rPr>
        <w:t xml:space="preserve"> </w:t>
      </w:r>
      <w:r>
        <w:rPr>
          <w:lang w:val="sr-Cyrl-CS"/>
        </w:rPr>
        <w:t>r</w:t>
      </w:r>
      <w:r w:rsidR="00857E29">
        <w:rPr>
          <w:lang w:val="sr-Cyrl-CS"/>
        </w:rPr>
        <w:t xml:space="preserve"> </w:t>
      </w:r>
      <w:r>
        <w:rPr>
          <w:lang w:val="sr-Cyrl-CS"/>
        </w:rPr>
        <w:t>a</w:t>
      </w:r>
      <w:r w:rsidR="00857E2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7E29" w:rsidRDefault="000D51CF" w:rsidP="00857E29">
      <w:pPr>
        <w:keepNext/>
        <w:spacing w:after="240"/>
        <w:jc w:val="center"/>
        <w:outlineLvl w:val="1"/>
        <w:rPr>
          <w:lang w:val="sr-Cyrl-CS"/>
        </w:rPr>
      </w:pPr>
      <w:r>
        <w:rPr>
          <w:bCs/>
          <w:lang w:val="sr-Cyrl-CS"/>
        </w:rPr>
        <w:t>USTAVNOM</w:t>
      </w:r>
      <w:r w:rsidR="00857E29" w:rsidRPr="00605C00">
        <w:rPr>
          <w:bCs/>
          <w:lang w:val="sr-Cyrl-CS"/>
        </w:rPr>
        <w:t xml:space="preserve"> </w:t>
      </w:r>
      <w:r>
        <w:rPr>
          <w:bCs/>
          <w:lang w:val="sr-Cyrl-CS"/>
        </w:rPr>
        <w:t>SUDU</w:t>
      </w:r>
      <w:r w:rsidR="00857E29" w:rsidRPr="00605C00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57E29" w:rsidRPr="00605C00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</w:p>
    <w:p w:rsidR="00857E29" w:rsidRDefault="00857E29" w:rsidP="00857E29">
      <w:pPr>
        <w:ind w:left="5613" w:firstLine="720"/>
        <w:jc w:val="right"/>
        <w:rPr>
          <w:lang w:val="sr-Cyrl-CS"/>
        </w:rPr>
      </w:pPr>
    </w:p>
    <w:p w:rsidR="00857E29" w:rsidRDefault="00857E29" w:rsidP="00857E29">
      <w:pPr>
        <w:ind w:left="5613" w:firstLine="720"/>
        <w:jc w:val="right"/>
        <w:rPr>
          <w:lang w:val="sr-Cyrl-CS"/>
        </w:rPr>
      </w:pPr>
      <w:r>
        <w:rPr>
          <w:lang w:val="sr-Cyrl-CS"/>
        </w:rPr>
        <w:t xml:space="preserve">                </w:t>
      </w:r>
    </w:p>
    <w:p w:rsidR="00857E29" w:rsidRPr="00605C00" w:rsidRDefault="000D51CF" w:rsidP="00857E29">
      <w:pPr>
        <w:ind w:left="5613" w:firstLine="720"/>
        <w:jc w:val="right"/>
        <w:rPr>
          <w:lang w:val="sr-Cyrl-CS"/>
        </w:rPr>
      </w:pPr>
      <w:r>
        <w:rPr>
          <w:lang w:val="sr-Cyrl-CS"/>
        </w:rPr>
        <w:t>Beograd</w:t>
      </w:r>
    </w:p>
    <w:p w:rsidR="00857E29" w:rsidRPr="008F3F66" w:rsidRDefault="000D51CF" w:rsidP="00857E29">
      <w:pPr>
        <w:spacing w:after="360"/>
        <w:ind w:left="4649"/>
        <w:jc w:val="right"/>
        <w:rPr>
          <w:lang w:val="sr-Cyrl-CS"/>
        </w:rPr>
      </w:pPr>
      <w:r>
        <w:rPr>
          <w:lang w:val="sr-Cyrl-CS"/>
        </w:rPr>
        <w:t>Bulevar</w:t>
      </w:r>
      <w:r w:rsidR="00857E29">
        <w:rPr>
          <w:lang w:val="sr-Cyrl-CS"/>
        </w:rPr>
        <w:t xml:space="preserve"> </w:t>
      </w:r>
      <w:r>
        <w:rPr>
          <w:lang w:val="sr-Cyrl-CS"/>
        </w:rPr>
        <w:t>Kralja</w:t>
      </w:r>
      <w:r w:rsidR="00857E2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857E29">
        <w:rPr>
          <w:lang w:val="sr-Cyrl-CS"/>
        </w:rPr>
        <w:t xml:space="preserve"> 15</w:t>
      </w:r>
    </w:p>
    <w:p w:rsidR="00857E29" w:rsidRDefault="00857E29" w:rsidP="00857E29">
      <w:pPr>
        <w:pStyle w:val="NoSpacing"/>
        <w:spacing w:after="240"/>
        <w:ind w:firstLine="720"/>
        <w:jc w:val="both"/>
        <w:rPr>
          <w:lang w:val="sr-Cyrl-CS"/>
        </w:rPr>
      </w:pPr>
    </w:p>
    <w:p w:rsidR="00857E29" w:rsidRDefault="000D51CF" w:rsidP="00857E29">
      <w:pPr>
        <w:pStyle w:val="NoSpacing"/>
        <w:spacing w:after="24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za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ustavna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pitanja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i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Narodne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857E29" w:rsidRPr="006F1135">
        <w:rPr>
          <w:lang w:val="sr-Cyrl-CS"/>
        </w:rPr>
        <w:t xml:space="preserve"> </w:t>
      </w:r>
      <w:r>
        <w:rPr>
          <w:lang w:val="sr-Cyrl-CS"/>
        </w:rPr>
        <w:t>Srbije</w:t>
      </w:r>
      <w:r w:rsidR="00857E29" w:rsidRPr="006F1135">
        <w:t xml:space="preserve">, </w:t>
      </w:r>
      <w:r>
        <w:rPr>
          <w:lang w:val="sr-Cyrl-RS"/>
        </w:rPr>
        <w:t>na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sednici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održanoj</w:t>
      </w:r>
      <w:r w:rsidR="00857E29" w:rsidRPr="006F1135">
        <w:rPr>
          <w:lang w:val="sr-Cyrl-RS"/>
        </w:rPr>
        <w:t xml:space="preserve"> </w:t>
      </w:r>
      <w:r w:rsidR="00857E29" w:rsidRPr="006F1135">
        <w:t>26</w:t>
      </w:r>
      <w:r w:rsidR="00857E29" w:rsidRPr="006F1135">
        <w:rPr>
          <w:lang w:val="sr-Cyrl-RS"/>
        </w:rPr>
        <w:t xml:space="preserve">. </w:t>
      </w:r>
      <w:r>
        <w:rPr>
          <w:lang w:val="sr-Cyrl-RS"/>
        </w:rPr>
        <w:t>oktobra</w:t>
      </w:r>
      <w:r w:rsidR="00857E29" w:rsidRPr="006F1135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857E29" w:rsidRPr="006F1135">
        <w:rPr>
          <w:lang w:val="sr-Cyrl-RS"/>
        </w:rPr>
        <w:t xml:space="preserve">, </w:t>
      </w:r>
      <w:r>
        <w:rPr>
          <w:lang w:val="sr-Cyrl-RS"/>
        </w:rPr>
        <w:t>na</w:t>
      </w:r>
      <w:r w:rsidR="00B77195">
        <w:rPr>
          <w:lang w:val="sr-Cyrl-RS"/>
        </w:rPr>
        <w:t xml:space="preserve"> </w:t>
      </w:r>
      <w:r>
        <w:rPr>
          <w:lang w:val="sr-Cyrl-RS"/>
        </w:rPr>
        <w:t>Zahtev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Ustavnog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suda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broj</w:t>
      </w:r>
      <w:r w:rsidR="00857E29" w:rsidRPr="006F1135">
        <w:rPr>
          <w:lang w:val="sr-Cyrl-RS"/>
        </w:rPr>
        <w:t xml:space="preserve"> </w:t>
      </w:r>
      <w:r w:rsidR="00857E29" w:rsidRPr="006F1135">
        <w:t>I</w:t>
      </w:r>
      <w:r>
        <w:rPr>
          <w:lang w:val="ru-RU"/>
        </w:rPr>
        <w:t>Uz</w:t>
      </w:r>
      <w:r w:rsidR="00857E29" w:rsidRPr="006F1135">
        <w:rPr>
          <w:lang w:val="ru-RU"/>
        </w:rPr>
        <w:t xml:space="preserve">-69/2022 </w:t>
      </w:r>
      <w:r>
        <w:rPr>
          <w:lang w:val="ru-RU"/>
        </w:rPr>
        <w:t>od</w:t>
      </w:r>
      <w:r w:rsidR="00857E29" w:rsidRPr="006F1135">
        <w:rPr>
          <w:lang w:val="ru-RU"/>
        </w:rPr>
        <w:t xml:space="preserve"> 12. </w:t>
      </w:r>
      <w:r>
        <w:rPr>
          <w:lang w:val="ru-RU"/>
        </w:rPr>
        <w:t>septembra</w:t>
      </w:r>
      <w:r w:rsidR="00857E29" w:rsidRPr="006F1135">
        <w:rPr>
          <w:lang w:val="ru-RU"/>
        </w:rPr>
        <w:t xml:space="preserve"> 2023. </w:t>
      </w:r>
      <w:r>
        <w:rPr>
          <w:lang w:val="ru-RU"/>
        </w:rPr>
        <w:t>godine</w:t>
      </w:r>
      <w:r w:rsidR="00857E29" w:rsidRPr="006F1135">
        <w:rPr>
          <w:lang w:val="ru-RU"/>
        </w:rPr>
        <w:t xml:space="preserve">, </w:t>
      </w:r>
      <w:r>
        <w:rPr>
          <w:lang w:val="ru-RU"/>
        </w:rPr>
        <w:t>za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dostavu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mišljenja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Narodne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skupštine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povodom</w:t>
      </w:r>
      <w:r w:rsidR="00857E29" w:rsidRPr="006F1135">
        <w:rPr>
          <w:lang w:val="ru-RU"/>
        </w:rPr>
        <w:t xml:space="preserve"> </w:t>
      </w:r>
      <w:r>
        <w:rPr>
          <w:lang w:val="ru-RU"/>
        </w:rPr>
        <w:t>inicijative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pokretanje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postupka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ocenu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saglasnosti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odredaba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1.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(„</w:t>
      </w:r>
      <w:r>
        <w:rPr>
          <w:rStyle w:val="FontStyle25"/>
          <w:sz w:val="24"/>
          <w:szCs w:val="24"/>
          <w:lang w:val="sr-Cyrl-CS" w:eastAsia="sr-Cyrl-CS"/>
        </w:rPr>
        <w:t>Službeni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glasnik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RS</w:t>
      </w:r>
      <w:r w:rsidR="00452A4B">
        <w:rPr>
          <w:rStyle w:val="FontStyle25"/>
          <w:sz w:val="24"/>
          <w:szCs w:val="24"/>
          <w:lang w:val="sr-Cyrl-RS" w:eastAsia="sr-Cyrl-CS"/>
        </w:rPr>
        <w:t>“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broj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18/20)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Ustavom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Republike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Srbije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koju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Ustavnom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sudu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podnelo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Udruženje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b w:val="0"/>
          <w:i w:val="0"/>
          <w:sz w:val="24"/>
          <w:szCs w:val="24"/>
          <w:lang w:val="sr-Cyrl-CS" w:eastAsia="sr-Cyrl-CS"/>
        </w:rPr>
        <w:t>iz</w:t>
      </w:r>
      <w:r w:rsidR="00857E29" w:rsidRPr="006F1135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Beog</w:t>
      </w:r>
      <w:r>
        <w:rPr>
          <w:rStyle w:val="FontStyle25"/>
          <w:sz w:val="24"/>
          <w:szCs w:val="24"/>
          <w:lang w:val="sr-Cyrl-CS" w:eastAsia="sr-Cyrl-CS"/>
        </w:rPr>
        <w:t>rada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Bulevar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Mihaila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Pupina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10</w:t>
      </w:r>
      <w:r>
        <w:rPr>
          <w:rStyle w:val="FontStyle25"/>
          <w:sz w:val="24"/>
          <w:szCs w:val="24"/>
          <w:lang w:val="sr-Cyrl-CS" w:eastAsia="sr-Cyrl-CS"/>
        </w:rPr>
        <w:t>z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/115,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zastupa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Rade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Karan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direktor</w:t>
      </w:r>
      <w:r w:rsidR="00857E29" w:rsidRPr="006F1135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Udruženja</w:t>
      </w:r>
      <w:r w:rsidR="00857E29" w:rsidRPr="006F1135">
        <w:rPr>
          <w:bCs/>
          <w:lang w:val="sr-Cyrl-CS"/>
        </w:rPr>
        <w:t xml:space="preserve">, </w:t>
      </w:r>
      <w:r>
        <w:rPr>
          <w:lang w:val="sr-Cyrl-RS"/>
        </w:rPr>
        <w:t>odlučio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je</w:t>
      </w:r>
      <w:r w:rsidR="00857E29" w:rsidRPr="006F1135">
        <w:rPr>
          <w:lang w:val="sr-Cyrl-RS"/>
        </w:rPr>
        <w:t xml:space="preserve"> </w:t>
      </w:r>
      <w:r>
        <w:rPr>
          <w:lang w:val="sr-Cyrl-RS"/>
        </w:rPr>
        <w:t>da</w:t>
      </w:r>
      <w:r w:rsidR="00445605">
        <w:rPr>
          <w:lang w:val="sr-Cyrl-RS"/>
        </w:rPr>
        <w:t xml:space="preserve"> </w:t>
      </w:r>
      <w:r>
        <w:rPr>
          <w:lang w:val="sr-Cyrl-RS"/>
        </w:rPr>
        <w:t>dostavi</w:t>
      </w:r>
      <w:r w:rsidR="00445605">
        <w:rPr>
          <w:lang w:val="sr-Cyrl-RS"/>
        </w:rPr>
        <w:t xml:space="preserve"> </w:t>
      </w:r>
      <w:r>
        <w:rPr>
          <w:lang w:val="sr-Cyrl-RS"/>
        </w:rPr>
        <w:t>Ustavnom</w:t>
      </w:r>
      <w:r w:rsidR="00445605">
        <w:rPr>
          <w:lang w:val="sr-Cyrl-RS"/>
        </w:rPr>
        <w:t xml:space="preserve"> </w:t>
      </w:r>
      <w:r>
        <w:rPr>
          <w:lang w:val="sr-Cyrl-RS"/>
        </w:rPr>
        <w:t>sudu</w:t>
      </w:r>
      <w:r w:rsidR="00445605">
        <w:rPr>
          <w:lang w:val="sr-Cyrl-RS"/>
        </w:rPr>
        <w:t xml:space="preserve"> </w:t>
      </w:r>
      <w:r>
        <w:rPr>
          <w:lang w:val="sr-Cyrl-RS"/>
        </w:rPr>
        <w:t>sledeće</w:t>
      </w:r>
    </w:p>
    <w:p w:rsidR="00857E29" w:rsidRDefault="000D51CF" w:rsidP="00452A4B">
      <w:pPr>
        <w:pStyle w:val="NoSpacing"/>
        <w:spacing w:after="240"/>
        <w:jc w:val="center"/>
        <w:rPr>
          <w:bCs/>
          <w:lang w:val="sr-Cyrl-CS"/>
        </w:rPr>
      </w:pPr>
      <w:r>
        <w:rPr>
          <w:bCs/>
          <w:lang w:val="sr-Cyrl-CS"/>
        </w:rPr>
        <w:t>MIŠLjENjE</w:t>
      </w:r>
    </w:p>
    <w:p w:rsidR="00857E29" w:rsidRPr="00C434E8" w:rsidRDefault="000D51CF" w:rsidP="00375403">
      <w:pPr>
        <w:pStyle w:val="Style8"/>
        <w:widowControl/>
        <w:spacing w:before="67"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Podnosilac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osporava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saglasnost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odredaba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1.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21, 46.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84.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Republike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Srbije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857E29" w:rsidP="00375403">
      <w:pPr>
        <w:pStyle w:val="Style8"/>
        <w:widowControl/>
        <w:spacing w:after="120" w:line="269" w:lineRule="exact"/>
        <w:ind w:firstLine="0"/>
        <w:rPr>
          <w:rStyle w:val="FontStyle25"/>
          <w:sz w:val="24"/>
          <w:szCs w:val="24"/>
          <w:lang w:val="sr-Cyrl-CS" w:eastAsia="sr-Cyrl-CS"/>
        </w:rPr>
      </w:pPr>
      <w:r w:rsidRPr="00C434E8">
        <w:rPr>
          <w:rStyle w:val="FontStyle25"/>
          <w:sz w:val="24"/>
          <w:szCs w:val="24"/>
          <w:lang w:val="sr-Cyrl-CS" w:eastAsia="sr-Cyrl-CS"/>
        </w:rPr>
        <w:t xml:space="preserve">         </w:t>
      </w:r>
      <w:r w:rsidRPr="00C434E8">
        <w:rPr>
          <w:rStyle w:val="FontStyle25"/>
          <w:sz w:val="24"/>
          <w:szCs w:val="24"/>
          <w:lang w:val="sr-Cyrl-CS" w:eastAsia="sr-Cyrl-CS"/>
        </w:rPr>
        <w:tab/>
      </w:r>
      <w:r w:rsidR="000D51CF">
        <w:rPr>
          <w:rStyle w:val="FontStyle25"/>
          <w:sz w:val="24"/>
          <w:szCs w:val="24"/>
          <w:lang w:val="sr-Cyrl-CS" w:eastAsia="sr-Cyrl-CS"/>
        </w:rPr>
        <w:t>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inicijativi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navodi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da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odredbama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člana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 w:rsidR="000D51CF">
        <w:rPr>
          <w:rStyle w:val="FontStyle25"/>
          <w:sz w:val="24"/>
          <w:szCs w:val="24"/>
          <w:lang w:val="sr-Cyrl-CS" w:eastAsia="sr-Cyrl-CS"/>
        </w:rPr>
        <w:t>stav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1. </w:t>
      </w:r>
      <w:r w:rsidR="000D51CF">
        <w:rPr>
          <w:rStyle w:val="FontStyle25"/>
          <w:sz w:val="24"/>
          <w:szCs w:val="24"/>
          <w:lang w:val="sr-Cyrl-CS" w:eastAsia="sr-Cyrl-CS"/>
        </w:rPr>
        <w:t>tačka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18)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člana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 w:rsidR="000D51CF">
        <w:rPr>
          <w:rStyle w:val="FontStyle25"/>
          <w:sz w:val="24"/>
          <w:szCs w:val="24"/>
          <w:lang w:val="sr-Cyrl-CS" w:eastAsia="sr-Cyrl-CS"/>
        </w:rPr>
        <w:t>Zakona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igrama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sreću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kojim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propisano</w:t>
      </w:r>
      <w:r w:rsidR="00B403D6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pravo</w:t>
      </w:r>
      <w:r w:rsidR="00B403D6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korišćenja</w:t>
      </w:r>
      <w:r w:rsidR="00B403D6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reči</w:t>
      </w:r>
      <w:r w:rsidR="00B403D6">
        <w:rPr>
          <w:rStyle w:val="FontStyle25"/>
          <w:sz w:val="24"/>
          <w:szCs w:val="24"/>
          <w:lang w:val="sr-Cyrl-CS" w:eastAsia="sr-Cyrl-CS"/>
        </w:rPr>
        <w:t xml:space="preserve"> „</w:t>
      </w:r>
      <w:r w:rsidR="000D51CF">
        <w:rPr>
          <w:rStyle w:val="FontStyle25"/>
          <w:sz w:val="24"/>
          <w:szCs w:val="24"/>
          <w:lang w:val="sr-Cyrl-CS" w:eastAsia="sr-Cyrl-CS"/>
        </w:rPr>
        <w:t>sa</w:t>
      </w:r>
      <w:r w:rsidR="00B403D6">
        <w:rPr>
          <w:rStyle w:val="FontStyle25"/>
          <w:sz w:val="24"/>
          <w:szCs w:val="24"/>
          <w:lang w:val="sr-Cyrl-CS" w:eastAsia="sr-Cyrl-CS"/>
        </w:rPr>
        <w:t>sino</w:t>
      </w:r>
      <w:r w:rsidR="00B403D6">
        <w:rPr>
          <w:rStyle w:val="FontStyle25"/>
          <w:sz w:val="24"/>
          <w:szCs w:val="24"/>
          <w:lang w:val="sr-Cyrl-RS" w:eastAsia="sr-Cyrl-CS"/>
        </w:rPr>
        <w:t>“</w:t>
      </w:r>
      <w:r>
        <w:rPr>
          <w:rStyle w:val="FontStyle25"/>
          <w:sz w:val="24"/>
          <w:szCs w:val="24"/>
          <w:lang w:val="sr-Cyrl-CS" w:eastAsia="sr-Cyrl-CS"/>
        </w:rPr>
        <w:t>, „</w:t>
      </w:r>
      <w:r w:rsidR="000D51CF">
        <w:rPr>
          <w:rStyle w:val="FontStyle25"/>
          <w:sz w:val="24"/>
          <w:szCs w:val="24"/>
          <w:lang w:val="sr-Cyrl-CS" w:eastAsia="sr-Cyrl-CS"/>
        </w:rPr>
        <w:t>sa</w:t>
      </w:r>
      <w:r>
        <w:rPr>
          <w:rStyle w:val="FontStyle25"/>
          <w:sz w:val="24"/>
          <w:szCs w:val="24"/>
          <w:lang w:val="sr-Cyrl-CS" w:eastAsia="sr-Cyrl-CS"/>
        </w:rPr>
        <w:t>zino</w:t>
      </w:r>
      <w:r w:rsidR="00452A4B">
        <w:rPr>
          <w:rStyle w:val="FontStyle25"/>
          <w:sz w:val="24"/>
          <w:szCs w:val="24"/>
          <w:lang w:val="sr-Cyrl-CS" w:eastAsia="sr-Cyrl-CS"/>
        </w:rPr>
        <w:t>“, „</w:t>
      </w:r>
      <w:r w:rsidR="000D51CF">
        <w:rPr>
          <w:rStyle w:val="FontStyle25"/>
          <w:sz w:val="24"/>
          <w:szCs w:val="24"/>
          <w:lang w:val="sr-Cyrl-CS" w:eastAsia="sr-Cyrl-CS"/>
        </w:rPr>
        <w:t>kasino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“ </w:t>
      </w:r>
      <w:r w:rsidR="000D51CF">
        <w:rPr>
          <w:rStyle w:val="FontStyle25"/>
          <w:sz w:val="24"/>
          <w:szCs w:val="24"/>
          <w:lang w:val="sr-Cyrl-CS" w:eastAsia="sr-Cyrl-CS"/>
        </w:rPr>
        <w:t>ili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„</w:t>
      </w:r>
      <w:r w:rsidR="000D51CF">
        <w:rPr>
          <w:rStyle w:val="FontStyle25"/>
          <w:sz w:val="24"/>
          <w:szCs w:val="24"/>
          <w:lang w:val="sr-Cyrl-CS" w:eastAsia="sr-Cyrl-CS"/>
        </w:rPr>
        <w:t>kazino</w:t>
      </w:r>
      <w:r w:rsidR="00452A4B">
        <w:rPr>
          <w:rStyle w:val="FontStyle25"/>
          <w:sz w:val="24"/>
          <w:szCs w:val="24"/>
          <w:lang w:val="sr-Cyrl-CS" w:eastAsia="sr-Cyrl-CS"/>
        </w:rPr>
        <w:t>“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krše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odredbe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Ustava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Republike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Srbije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odnose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zabranu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svake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diskriminacije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neposredne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ili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posredne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po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bilo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kom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osnovu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kojima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jemči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sloboda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mišljenja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izražavanja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kao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sloboda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da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govorom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pisanjem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slikom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ili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drugi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način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traže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primaju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šire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obaveštenja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ideje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kao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odredbe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odnose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otvoreno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slobodno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tržište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0D51CF">
        <w:rPr>
          <w:rStyle w:val="FontStyle25"/>
          <w:sz w:val="24"/>
          <w:szCs w:val="24"/>
          <w:lang w:val="sr-Cyrl-CS" w:eastAsia="sr-Cyrl-CS"/>
        </w:rPr>
        <w:t>kojima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garantuje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jednak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pravni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položaj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tržištu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i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kojima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zabranjuju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akta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kojima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se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ograničava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slobodna</w:t>
      </w:r>
      <w:r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 w:rsidR="000D51CF">
        <w:rPr>
          <w:rStyle w:val="FontStyle25"/>
          <w:sz w:val="24"/>
          <w:szCs w:val="24"/>
          <w:lang w:val="sr-Cyrl-CS" w:eastAsia="sr-Cyrl-CS"/>
        </w:rPr>
        <w:t>konkurencija</w:t>
      </w:r>
      <w:r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375403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Dalje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navodi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predstavlja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legitimno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precizno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proporcionalno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nužno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funkciji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obezbeđivanja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vladavine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predstavlja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vid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neposredne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diskriminacijs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zabranjene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21.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legitimnog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pogledu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toga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koristiti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preuzete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stranih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jezika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tako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utemeljenja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ovom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dovode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različit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375403">
      <w:pPr>
        <w:pStyle w:val="Style8"/>
        <w:widowControl/>
        <w:spacing w:before="10" w:after="120" w:line="269" w:lineRule="exact"/>
        <w:ind w:right="10"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daljem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tekstu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ističe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osporenim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46.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jemči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mišljenja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govorom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pisanjem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slikom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način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traže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primaju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lastRenderedPageBreak/>
        <w:t>šire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obaveštenja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ideje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  <w:r w:rsidR="00857E29">
        <w:rPr>
          <w:rStyle w:val="FontStyle25"/>
          <w:sz w:val="24"/>
          <w:szCs w:val="24"/>
          <w:lang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Podnosilac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naglašava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ranije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važeći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(„</w:t>
      </w:r>
      <w:r>
        <w:rPr>
          <w:rStyle w:val="FontStyle25"/>
          <w:sz w:val="24"/>
          <w:szCs w:val="24"/>
          <w:lang w:val="sr-Cyrl-CS" w:eastAsia="sr-Cyrl-CS"/>
        </w:rPr>
        <w:t>Službeni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glasnik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RS</w:t>
      </w:r>
      <w:r w:rsidR="00452A4B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br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 88/11, 93/12-</w:t>
      </w:r>
      <w:r>
        <w:rPr>
          <w:rStyle w:val="FontStyle25"/>
          <w:sz w:val="24"/>
          <w:szCs w:val="24"/>
          <w:lang w:val="sr-Cyrl-CS" w:eastAsia="sr-Cyrl-CS"/>
        </w:rPr>
        <w:t>dr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zakon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30/18, 95/18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91/19), </w:t>
      </w:r>
      <w:r>
        <w:rPr>
          <w:rStyle w:val="FontStyle25"/>
          <w:sz w:val="24"/>
          <w:szCs w:val="24"/>
          <w:lang w:val="sr-Cyrl-CS" w:eastAsia="sr-Cyrl-CS"/>
        </w:rPr>
        <w:t>jasno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definisao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način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korišćenja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>
        <w:rPr>
          <w:rStyle w:val="FontStyle25"/>
          <w:sz w:val="24"/>
          <w:szCs w:val="24"/>
          <w:lang w:eastAsia="sr-Cyrl-CS"/>
        </w:rPr>
        <w:t>sino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“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452A4B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naknadno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proširenje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novog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vodi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ograničavanju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slobode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preduzetnišgva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podsticanju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monopolskog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način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što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zabranjuje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korišćenje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generičke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svakom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mogućem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obliku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čime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sporna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de facto  </w:t>
      </w:r>
      <w:r>
        <w:rPr>
          <w:rStyle w:val="FontStyle25"/>
          <w:sz w:val="24"/>
          <w:szCs w:val="24"/>
          <w:lang w:val="sr-Cyrl-CS" w:eastAsia="sr-Cyrl-CS"/>
        </w:rPr>
        <w:t>prostire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virtuelnu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sferu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poslovanja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375403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Odredbom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1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(„</w:t>
      </w:r>
      <w:r>
        <w:rPr>
          <w:rStyle w:val="FontStyle25"/>
          <w:sz w:val="24"/>
          <w:szCs w:val="24"/>
          <w:lang w:val="sr-Cyrl-CS" w:eastAsia="sr-Cyrl-CS"/>
        </w:rPr>
        <w:t>Službeni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glasnik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RS</w:t>
      </w:r>
      <w:r w:rsidR="00452A4B">
        <w:rPr>
          <w:rStyle w:val="FontStyle25"/>
          <w:sz w:val="24"/>
          <w:szCs w:val="24"/>
          <w:lang w:val="sr-Cyrl-CS" w:eastAsia="sr-Cyrl-CS"/>
        </w:rPr>
        <w:t>“,</w:t>
      </w:r>
      <w:r w:rsidR="00857E29" w:rsidRPr="00C434E8">
        <w:rPr>
          <w:rStyle w:val="FontStyle26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broj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18/20 -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daljem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tekstu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: </w:t>
      </w:r>
      <w:r>
        <w:rPr>
          <w:rStyle w:val="FontStyle25"/>
          <w:sz w:val="24"/>
          <w:szCs w:val="24"/>
          <w:lang w:val="sr-Cyrl-CS" w:eastAsia="sr-Cyrl-CS"/>
        </w:rPr>
        <w:t>Zakon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)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zabranjeno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ovog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upotreba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korena</w:t>
      </w:r>
      <w:r w:rsidR="00C366A1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C366A1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C366A1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C366A1">
        <w:rPr>
          <w:rStyle w:val="FontStyle25"/>
          <w:sz w:val="24"/>
          <w:szCs w:val="24"/>
          <w:lang w:val="sr-Cyrl-CS" w:eastAsia="sr-Cyrl-CS"/>
        </w:rPr>
        <w:t xml:space="preserve"> „casino</w:t>
      </w:r>
      <w:r w:rsidR="00452A4B">
        <w:rPr>
          <w:rStyle w:val="FontStyle25"/>
          <w:sz w:val="24"/>
          <w:szCs w:val="24"/>
          <w:lang w:val="sr-Cyrl-CS" w:eastAsia="sr-Cyrl-CS"/>
        </w:rPr>
        <w:t>“, „</w:t>
      </w:r>
      <w:r>
        <w:rPr>
          <w:rStyle w:val="FontStyle25"/>
          <w:sz w:val="24"/>
          <w:szCs w:val="24"/>
          <w:lang w:val="sr-Cyrl-CS" w:eastAsia="sr-Cyrl-CS"/>
        </w:rPr>
        <w:t>kasino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“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452A4B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ovog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Odredbom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koren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„casino“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 w:rsidR="00857E29">
        <w:rPr>
          <w:rStyle w:val="FontStyle25"/>
          <w:sz w:val="24"/>
          <w:szCs w:val="24"/>
          <w:lang w:val="sr-Cyrl-RS" w:eastAsia="sr-Cyrl-CS"/>
        </w:rPr>
        <w:t>„</w:t>
      </w:r>
      <w:r w:rsidR="00C366A1">
        <w:rPr>
          <w:rStyle w:val="FontStyle25"/>
          <w:sz w:val="24"/>
          <w:szCs w:val="24"/>
          <w:lang w:val="sr-Cyrl-CS" w:eastAsia="sr-Cyrl-CS"/>
        </w:rPr>
        <w:t>caz</w:t>
      </w:r>
      <w:r w:rsidR="00452A4B">
        <w:rPr>
          <w:rStyle w:val="FontStyle25"/>
          <w:sz w:val="24"/>
          <w:szCs w:val="24"/>
          <w:lang w:val="sr-Cyrl-CS" w:eastAsia="sr-Cyrl-CS"/>
        </w:rPr>
        <w:t>ino“, „</w:t>
      </w:r>
      <w:r>
        <w:rPr>
          <w:rStyle w:val="FontStyle25"/>
          <w:sz w:val="24"/>
          <w:szCs w:val="24"/>
          <w:lang w:val="sr-Cyrl-CS" w:eastAsia="sr-Cyrl-CS"/>
        </w:rPr>
        <w:t>kasino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“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452A4B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452A4B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mogu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koristiti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samo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imaju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važeću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priređivalje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375403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igraju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protiv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jedan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protiv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drutog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stolovima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</w:t>
      </w:r>
      <w:r w:rsidR="00857E29">
        <w:rPr>
          <w:rStyle w:val="FontStyle25"/>
          <w:sz w:val="24"/>
          <w:szCs w:val="24"/>
          <w:lang w:val="sr-Cyrl-CS" w:eastAsia="sr-Cyrl-CS"/>
        </w:rPr>
        <w:t>e</w:t>
      </w:r>
      <w:r>
        <w:rPr>
          <w:rStyle w:val="FontStyle25"/>
          <w:sz w:val="24"/>
          <w:szCs w:val="24"/>
          <w:lang w:val="sr-Cyrl-CS" w:eastAsia="sr-Cyrl-CS"/>
        </w:rPr>
        <w:t>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kuglicama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kockicama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kartama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sličnim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rekvizitima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priređuju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isključivo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prostoru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</w:t>
      </w:r>
      <w:r>
        <w:rPr>
          <w:rStyle w:val="FontStyle25"/>
          <w:sz w:val="24"/>
          <w:szCs w:val="24"/>
          <w:lang w:val="sr-Cyrl-RS" w:eastAsia="sr-Cyrl-CS"/>
        </w:rPr>
        <w:t>n</w:t>
      </w:r>
      <w:r>
        <w:rPr>
          <w:rStyle w:val="FontStyle25"/>
          <w:sz w:val="24"/>
          <w:szCs w:val="24"/>
          <w:lang w:val="sr-Cyrl-CS" w:eastAsia="sr-Cyrl-CS"/>
        </w:rPr>
        <w:t>ice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375403">
      <w:pPr>
        <w:pStyle w:val="Style8"/>
        <w:widowControl/>
        <w:spacing w:after="120" w:line="269" w:lineRule="exact"/>
        <w:ind w:right="10"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broj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Republike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Srbije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(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daljem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tekstu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: </w:t>
      </w:r>
      <w:r>
        <w:rPr>
          <w:rStyle w:val="FontStyle25"/>
          <w:sz w:val="24"/>
          <w:szCs w:val="24"/>
          <w:lang w:val="sr-Cyrl-CS" w:eastAsia="sr-Cyrl-CS"/>
        </w:rPr>
        <w:t>Vlada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), </w:t>
      </w:r>
      <w:r>
        <w:rPr>
          <w:rStyle w:val="FontStyle25"/>
          <w:sz w:val="24"/>
          <w:szCs w:val="24"/>
          <w:lang w:val="sr-Cyrl-CS" w:eastAsia="sr-Cyrl-CS"/>
        </w:rPr>
        <w:t>visina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osnovnog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kapitala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postupak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oduzimanja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prostorni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audio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video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nadzor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zaštita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obaveze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učešća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javnom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pozivu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regulisano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34 - 56.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podzakonskim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aktima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tj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pravilnicima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bliže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uređuju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regulišu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oblast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Navedenim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zakonskim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između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: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nakon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sprovdenog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javnog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poziva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najviše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deset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dobiti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ukoliko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njegov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većinski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osnivač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poseduje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učešće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najmanje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ukoliko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priređuje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7C28DB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najmanje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pet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godina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nalaziti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građevinskom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objektu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specijalno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uređenom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svrhu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pored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ispunjenja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mnogobrojnih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pravno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- </w:t>
      </w:r>
      <w:r>
        <w:rPr>
          <w:rStyle w:val="FontStyle25"/>
          <w:sz w:val="24"/>
          <w:szCs w:val="24"/>
          <w:lang w:val="sr-Cyrl-CS" w:eastAsia="sr-Cyrl-CS"/>
        </w:rPr>
        <w:t>priređivač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kapital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manji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dinarske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protivvrednosti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1.000.000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itd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Default="000D51CF" w:rsidP="00375403">
      <w:pPr>
        <w:pStyle w:val="Style7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(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automatima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- </w:t>
      </w:r>
      <w:r>
        <w:rPr>
          <w:rStyle w:val="FontStyle25"/>
          <w:sz w:val="24"/>
          <w:szCs w:val="24"/>
          <w:lang w:val="sr-Cyrl-CS" w:eastAsia="sr-Cyrl-CS"/>
        </w:rPr>
        <w:t>klađenje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sredstava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elektronske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komunikacije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) </w:t>
      </w:r>
      <w:r>
        <w:rPr>
          <w:rStyle w:val="FontStyle25"/>
          <w:sz w:val="24"/>
          <w:szCs w:val="24"/>
          <w:lang w:val="sr-Cyrl-CS" w:eastAsia="sr-Cyrl-CS"/>
        </w:rPr>
        <w:t>moraju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ispupiti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kvalitativno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kvantitativpo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neuporedivo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manji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broj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zahtevnih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kriterijuma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nego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tako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: </w:t>
      </w:r>
      <w:r>
        <w:rPr>
          <w:rStyle w:val="FontStyle25"/>
          <w:sz w:val="24"/>
          <w:szCs w:val="24"/>
          <w:lang w:val="sr-Cyrl-CS" w:eastAsia="sr-Cyrl-CS"/>
        </w:rPr>
        <w:t>odobrenje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Uprava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broja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izdatih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odobrenja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obaveze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posedovanja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učešća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723F3C" w:rsidRPr="00536E3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najmanje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jednoj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potrebe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ispunjenja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najmanje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pet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godina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napred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pobrojane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vrste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propisan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neuporedivo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manji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kapital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250.000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umesto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1.000.000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koliko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bitno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naglasiti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evidentne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iznosima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naknade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- </w:t>
      </w:r>
      <w:r>
        <w:rPr>
          <w:rStyle w:val="FontStyle25"/>
          <w:sz w:val="24"/>
          <w:szCs w:val="24"/>
          <w:lang w:val="sr-Cyrl-CS" w:eastAsia="sr-Cyrl-CS"/>
        </w:rPr>
        <w:t>ponude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koja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dobijanje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uplatiti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otpočinjanja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iznosu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minimum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500.000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dok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plaćaju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mesečne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naknade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(25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automatu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100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kladionici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2.500 </w:t>
      </w:r>
      <w:r>
        <w:rPr>
          <w:rStyle w:val="FontStyle25"/>
          <w:sz w:val="24"/>
          <w:szCs w:val="24"/>
          <w:lang w:val="sr-Cyrl-CS" w:eastAsia="sr-Cyrl-CS"/>
        </w:rPr>
        <w:t>evra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mesečno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sredstava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elektronske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komunikacije</w:t>
      </w:r>
      <w:r w:rsidR="00857E29">
        <w:rPr>
          <w:rStyle w:val="FontStyle25"/>
          <w:sz w:val="24"/>
          <w:szCs w:val="24"/>
          <w:lang w:val="sr-Cyrl-CS" w:eastAsia="sr-Cyrl-CS"/>
        </w:rPr>
        <w:t>).</w:t>
      </w:r>
    </w:p>
    <w:p w:rsidR="00857E29" w:rsidRPr="00C434E8" w:rsidRDefault="000D51CF" w:rsidP="00375403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Saglasno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iznetom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proizlazi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dobijanje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daleko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složeniji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strožiji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nego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dobijanje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odobrenja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automatima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klađenje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sredstava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lastRenderedPageBreak/>
        <w:t>elektronske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komunikacije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samim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različito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što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osporava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predmetnom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inicijatovom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čega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jasno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nedvosmisleno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proističe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potreba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10.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propiše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s</w:t>
      </w:r>
      <w:r w:rsidR="00857E29">
        <w:rPr>
          <w:rStyle w:val="FontStyle25"/>
          <w:sz w:val="24"/>
          <w:szCs w:val="24"/>
          <w:lang w:eastAsia="sr-Cyrl-CS"/>
        </w:rPr>
        <w:t>asino</w:t>
      </w:r>
      <w:r w:rsidR="008A063C">
        <w:rPr>
          <w:rStyle w:val="FontStyle25"/>
          <w:sz w:val="24"/>
          <w:szCs w:val="24"/>
          <w:lang w:val="sr-Cyrl-CS" w:eastAsia="sr-Cyrl-CS"/>
        </w:rPr>
        <w:t>“</w:t>
      </w:r>
      <w:r w:rsidR="00857E29">
        <w:rPr>
          <w:rStyle w:val="FontStyle25"/>
          <w:sz w:val="24"/>
          <w:szCs w:val="24"/>
          <w:lang w:val="sr-Cyrl-CS" w:eastAsia="sr-Cyrl-CS"/>
        </w:rPr>
        <w:t>, „</w:t>
      </w:r>
      <w:r w:rsidR="00F140BA">
        <w:rPr>
          <w:rStyle w:val="FontStyle25"/>
          <w:sz w:val="24"/>
          <w:szCs w:val="24"/>
          <w:lang w:eastAsia="sr-Cyrl-CS"/>
        </w:rPr>
        <w:t>caz</w:t>
      </w:r>
      <w:r w:rsidR="008A063C">
        <w:rPr>
          <w:rStyle w:val="FontStyle25"/>
          <w:sz w:val="24"/>
          <w:szCs w:val="24"/>
          <w:lang w:eastAsia="sr-Cyrl-CS"/>
        </w:rPr>
        <w:t>ino</w:t>
      </w:r>
      <w:r w:rsidR="008A063C">
        <w:rPr>
          <w:rStyle w:val="FontStyle25"/>
          <w:sz w:val="24"/>
          <w:szCs w:val="24"/>
          <w:lang w:val="sr-Cyrl-CS" w:eastAsia="sr-Cyrl-CS"/>
        </w:rPr>
        <w:t>“, „</w:t>
      </w:r>
      <w:r>
        <w:rPr>
          <w:rStyle w:val="FontStyle25"/>
          <w:sz w:val="24"/>
          <w:szCs w:val="24"/>
          <w:lang w:val="sr-Cyrl-CS" w:eastAsia="sr-Cyrl-CS"/>
        </w:rPr>
        <w:t>kasino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“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8A063C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mogu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koristiti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samo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imaju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važeću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dozvolu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</w:t>
      </w:r>
      <w:r>
        <w:rPr>
          <w:rStyle w:val="FontStyle25"/>
          <w:sz w:val="24"/>
          <w:szCs w:val="24"/>
          <w:lang w:val="sr-Cyrl-RS" w:eastAsia="sr-Cyrl-CS"/>
        </w:rPr>
        <w:t>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Ustavom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Republike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Srbije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utvrđeno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Ustavom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svako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zakonsku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zaštitu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bez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diskriminacije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zabranjena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svaka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diskriminacija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neposredna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posredna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bilo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naročito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pola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nacionalne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pripadnosti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društvenog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porekla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rođenja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veroispovesti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političkog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uverenja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imovnog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kulture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jezika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starosti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psihičkog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fizičkog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invaliditeta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(</w:t>
      </w:r>
      <w:r>
        <w:rPr>
          <w:rStyle w:val="FontStyle25"/>
          <w:sz w:val="24"/>
          <w:szCs w:val="24"/>
          <w:lang w:val="sr-Cyrl-CS" w:eastAsia="sr-Cyrl-CS"/>
        </w:rPr>
        <w:t>član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21. </w:t>
      </w:r>
      <w:r>
        <w:rPr>
          <w:rStyle w:val="FontStyle25"/>
          <w:sz w:val="24"/>
          <w:szCs w:val="24"/>
          <w:lang w:val="sr-Cyrl-CS" w:eastAsia="sr-Cyrl-CS"/>
        </w:rPr>
        <w:t>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 1-3.).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Nisu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osnovani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navodi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sporne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nesaglasnosti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21.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jer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postojala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diskriminacija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posredna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neposredna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bilo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mora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neopravdano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pravljenje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nejednako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postupanje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sličnoj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situaciji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S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obzirom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pobrojane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odnosu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nikakve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sumnje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A063C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nisu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istoj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sličnoj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situaciji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nemaju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obaveze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tako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imaju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opravdan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različit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status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odnosu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uključujući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sredstava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elektronske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komunikacije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stoga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smo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mišljenja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predmetne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21.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Odredbom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A063C">
        <w:rPr>
          <w:rStyle w:val="FontStyle25"/>
          <w:sz w:val="24"/>
          <w:szCs w:val="24"/>
          <w:lang w:val="sr-Cyrl-CS" w:eastAsia="sr-Cyrl-CS"/>
        </w:rPr>
        <w:t xml:space="preserve"> 46.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jemči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mišljenja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govorom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pisanjem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slikom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način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traže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primaju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šire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obrazloženja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ideje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Međutim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Ustavom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jemči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neograničena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već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dopušta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svrhu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zaštite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ugleda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apsolutna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reč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relativnoj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podrazumeva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određeni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stepen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dužnosti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odgovornosti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legitimnim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ciljem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zaštita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ugled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tako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saglasno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iznetom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povrede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46.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imajući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vidu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ispunjeni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neophodni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svrha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predmetnog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nesumnjivo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zaštita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095C4D">
      <w:pPr>
        <w:pStyle w:val="Style8"/>
        <w:widowControl/>
        <w:spacing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predstavlja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legitimno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precizno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proporcionalno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nužno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funkciji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obezbeđivanja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vladavine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drugačije</w:t>
      </w:r>
      <w:r w:rsidR="003A3846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postupanje</w:t>
      </w:r>
      <w:r w:rsidR="003A3846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bi</w:t>
      </w:r>
      <w:r w:rsidR="003A3846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upravo</w:t>
      </w:r>
      <w:r w:rsidR="003A3846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doprinelo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zloupotrebi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utvrđenih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zakonskih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095C4D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omogućilo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nesrazmerno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nejednak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status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priređuju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odnosu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ostale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84.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zajemčen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subjekata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tržištu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zabranjeni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akti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suprotno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zakonu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ograničava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konkurencija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stvaranjem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zloupotrebom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monopolskog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dominantnog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. </w:t>
      </w:r>
      <w:r>
        <w:rPr>
          <w:rStyle w:val="FontStyle25"/>
          <w:sz w:val="24"/>
          <w:szCs w:val="24"/>
          <w:lang w:val="sr-Cyrl-CS" w:eastAsia="sr-Cyrl-CS"/>
        </w:rPr>
        <w:t>Zajemčena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obavljanju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delatnosti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značenje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apsolutnom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smislu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već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pretpostavlja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utvrđenoj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pravnoj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situaciji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odnosno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uslovima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obavljanja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delatnosti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kada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automatima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klađenje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preko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sredstava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elektronske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komunikacije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uređeni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različito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odnosu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obavljaju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delatnost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15113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potpuno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neargumentovano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ističe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činjenica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nejednak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tretman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posebnih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igara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sreću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objektivno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racionalno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opravdanje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međutim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nema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nikakve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dileme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1.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lastRenderedPageBreak/>
        <w:t>sprečene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zloupotrebe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zablude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korišćenju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spornih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osigurana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sigurnost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doslednost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primeni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FD36C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Potpuno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netačni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neosnovani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navodi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podnosioca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ipicijative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propisana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korišćenja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>
        <w:rPr>
          <w:rStyle w:val="FontStyle25"/>
          <w:sz w:val="24"/>
          <w:szCs w:val="24"/>
          <w:lang w:eastAsia="sr-Cyrl-CS"/>
        </w:rPr>
        <w:t>sino</w:t>
      </w:r>
      <w:r w:rsidR="00D032D3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 w:rsidR="00857E29">
        <w:rPr>
          <w:rStyle w:val="FontStyle25"/>
          <w:sz w:val="24"/>
          <w:szCs w:val="24"/>
          <w:lang w:val="sr-Cyrl-CS" w:eastAsia="sr-Cyrl-CS"/>
        </w:rPr>
        <w:t>„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>
        <w:rPr>
          <w:rStyle w:val="FontStyle25"/>
          <w:sz w:val="24"/>
          <w:szCs w:val="24"/>
          <w:lang w:val="sr-Cyrl-CS" w:eastAsia="sr-Cyrl-CS"/>
        </w:rPr>
        <w:t>zino</w:t>
      </w:r>
      <w:r w:rsidR="00D032D3">
        <w:rPr>
          <w:rStyle w:val="FontStyle25"/>
          <w:sz w:val="24"/>
          <w:szCs w:val="24"/>
          <w:lang w:val="sr-Cyrl-CS" w:eastAsia="sr-Cyrl-CS"/>
        </w:rPr>
        <w:t>“, „</w:t>
      </w:r>
      <w:r>
        <w:rPr>
          <w:rStyle w:val="FontStyle25"/>
          <w:sz w:val="24"/>
          <w:szCs w:val="24"/>
          <w:lang w:val="sr-Cyrl-CS" w:eastAsia="sr-Cyrl-CS"/>
        </w:rPr>
        <w:t>kasino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“ </w:t>
      </w:r>
      <w:r>
        <w:rPr>
          <w:rStyle w:val="FontStyle25"/>
          <w:sz w:val="24"/>
          <w:szCs w:val="24"/>
          <w:lang w:val="sr-Cyrl-CS" w:eastAsia="sr-Cyrl-CS"/>
        </w:rPr>
        <w:t>ili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„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D032D3">
        <w:rPr>
          <w:rStyle w:val="FontStyle25"/>
          <w:sz w:val="24"/>
          <w:szCs w:val="24"/>
          <w:lang w:val="sr-Cyrl-CS" w:eastAsia="sr-Cyrl-CS"/>
        </w:rPr>
        <w:t>“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neprecizne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nejasne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nepredvidive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već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upravo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vrlo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jasne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nedvosmislene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ostavljaju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nikakvu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dilemu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drugačije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tumačenje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FD36C0">
      <w:pPr>
        <w:pStyle w:val="Style8"/>
        <w:widowControl/>
        <w:spacing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Imajući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vidu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sadržina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osporenog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akta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potvrđuje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legitimiše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obrazloženje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mišljenja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smo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1.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predstavljaju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narušavanje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jednakosti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subjekata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tržištu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akt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Zakonom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Ustavu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uspostavlja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monopolski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pravnih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lica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čega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jasno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nedvosmisleno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proističe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predmetne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84.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Pr="00C434E8" w:rsidRDefault="000D51CF" w:rsidP="00FD36C0">
      <w:pPr>
        <w:pStyle w:val="Style8"/>
        <w:widowControl/>
        <w:spacing w:before="10" w:after="120" w:line="269" w:lineRule="exact"/>
        <w:ind w:firstLine="720"/>
        <w:rPr>
          <w:rStyle w:val="FontStyle25"/>
          <w:sz w:val="24"/>
          <w:szCs w:val="24"/>
          <w:lang w:val="sr-Cyrl-CS" w:eastAsia="sr-Cyrl-CS"/>
        </w:rPr>
      </w:pPr>
      <w:r>
        <w:rPr>
          <w:rStyle w:val="FontStyle25"/>
          <w:sz w:val="24"/>
          <w:szCs w:val="24"/>
          <w:lang w:val="sr-Cyrl-CS" w:eastAsia="sr-Cyrl-CS"/>
        </w:rPr>
        <w:t>S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obzirom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način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definisanja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zabrane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korišćenja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predmetnih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aktuelnom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Zakonu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upravo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sprečio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učestalu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zloupotrebu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navedenih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reči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strane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priređivača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koji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priređuju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kazino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igračnicama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s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tim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vezi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mišljenja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smo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osporavane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nisu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diskriminatorske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vode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ograničavanju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izražavanja</w:t>
      </w:r>
      <w:r w:rsidR="00D032D3">
        <w:rPr>
          <w:rStyle w:val="FontStyle25"/>
          <w:sz w:val="24"/>
          <w:szCs w:val="24"/>
          <w:lang w:val="sr-Cyrl-CS" w:eastAsia="sr-Cyrl-CS"/>
        </w:rPr>
        <w:t>,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preduzetništva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njima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ograničava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slobodna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konkurencija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podstiče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monopolski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položaj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te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shodno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navedenom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nisu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suprotnosti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21, 46.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84.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</w:p>
    <w:p w:rsidR="00857E29" w:rsidRDefault="000D51CF" w:rsidP="00FD36C0">
      <w:pPr>
        <w:pStyle w:val="Style8"/>
        <w:widowControl/>
        <w:spacing w:after="600" w:line="269" w:lineRule="exact"/>
        <w:ind w:firstLine="720"/>
        <w:rPr>
          <w:bCs/>
          <w:lang w:val="sr-Cyrl-CS"/>
        </w:rPr>
      </w:pPr>
      <w:r>
        <w:rPr>
          <w:rStyle w:val="FontStyle25"/>
          <w:sz w:val="24"/>
          <w:szCs w:val="24"/>
          <w:lang w:val="sr-Cyrl-CS" w:eastAsia="sr-Cyrl-CS"/>
        </w:rPr>
        <w:t>Na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osnovu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svega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navedenog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Odbor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predlaže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Ustavni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sud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odlukom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odbije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za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ocenu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ustavnosti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odredaba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10. </w:t>
      </w:r>
      <w:r>
        <w:rPr>
          <w:rStyle w:val="FontStyle25"/>
          <w:sz w:val="24"/>
          <w:szCs w:val="24"/>
          <w:lang w:val="sr-Cyrl-CS" w:eastAsia="sr-Cyrl-CS"/>
        </w:rPr>
        <w:t>stav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1. </w:t>
      </w:r>
      <w:r>
        <w:rPr>
          <w:rStyle w:val="FontStyle25"/>
          <w:sz w:val="24"/>
          <w:szCs w:val="24"/>
          <w:lang w:val="sr-Cyrl-CS" w:eastAsia="sr-Cyrl-CS"/>
        </w:rPr>
        <w:t>tačka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18)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člana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56. </w:t>
      </w:r>
      <w:r>
        <w:rPr>
          <w:rStyle w:val="FontStyle25"/>
          <w:sz w:val="24"/>
          <w:szCs w:val="24"/>
          <w:lang w:val="sr-Cyrl-CS" w:eastAsia="sr-Cyrl-CS"/>
        </w:rPr>
        <w:t>Zakona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sa</w:t>
      </w:r>
      <w:r w:rsidR="00D032D3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odredbama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čl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. 21, 46. </w:t>
      </w:r>
      <w:r>
        <w:rPr>
          <w:rStyle w:val="FontStyle25"/>
          <w:sz w:val="24"/>
          <w:szCs w:val="24"/>
          <w:lang w:val="sr-Cyrl-CS" w:eastAsia="sr-Cyrl-CS"/>
        </w:rPr>
        <w:t>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84. </w:t>
      </w:r>
      <w:r>
        <w:rPr>
          <w:rStyle w:val="FontStyle25"/>
          <w:sz w:val="24"/>
          <w:szCs w:val="24"/>
          <w:lang w:val="sr-Cyrl-CS" w:eastAsia="sr-Cyrl-CS"/>
        </w:rPr>
        <w:t>Ustava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, </w:t>
      </w:r>
      <w:r>
        <w:rPr>
          <w:rStyle w:val="FontStyle25"/>
          <w:sz w:val="24"/>
          <w:szCs w:val="24"/>
          <w:lang w:val="sr-Cyrl-CS" w:eastAsia="sr-Cyrl-CS"/>
        </w:rPr>
        <w:t>budući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da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je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inicijativa</w:t>
      </w:r>
      <w:r w:rsidR="00857E29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neosnovana</w:t>
      </w:r>
      <w:r w:rsidR="00857E29">
        <w:rPr>
          <w:rStyle w:val="FontStyle25"/>
          <w:sz w:val="24"/>
          <w:szCs w:val="24"/>
          <w:lang w:val="sr-Cyrl-CS" w:eastAsia="sr-Cyrl-CS"/>
        </w:rPr>
        <w:t>,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što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proizlazi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svega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 xml:space="preserve"> </w:t>
      </w:r>
      <w:r>
        <w:rPr>
          <w:rStyle w:val="FontStyle25"/>
          <w:sz w:val="24"/>
          <w:szCs w:val="24"/>
          <w:lang w:val="sr-Cyrl-CS" w:eastAsia="sr-Cyrl-CS"/>
        </w:rPr>
        <w:t>iznetog</w:t>
      </w:r>
      <w:r w:rsidR="00857E29" w:rsidRPr="00C434E8">
        <w:rPr>
          <w:rStyle w:val="FontStyle25"/>
          <w:sz w:val="24"/>
          <w:szCs w:val="24"/>
          <w:lang w:val="sr-Cyrl-CS" w:eastAsia="sr-Cyrl-CS"/>
        </w:rPr>
        <w:t>.</w:t>
      </w:r>
      <w:r w:rsidR="00857E29" w:rsidRPr="00C434E8">
        <w:rPr>
          <w:bCs/>
          <w:lang w:val="sr-Cyrl-CS"/>
        </w:rPr>
        <w:tab/>
      </w:r>
      <w:r w:rsidR="00857E29">
        <w:rPr>
          <w:bCs/>
          <w:lang w:val="sr-Cyrl-CS"/>
        </w:rPr>
        <w:t xml:space="preserve">                                                                                            </w:t>
      </w:r>
    </w:p>
    <w:p w:rsidR="00857E29" w:rsidRDefault="00857E29" w:rsidP="00D032D3">
      <w:pPr>
        <w:tabs>
          <w:tab w:val="left" w:pos="720"/>
          <w:tab w:val="left" w:pos="7680"/>
        </w:tabs>
        <w:spacing w:after="360"/>
        <w:jc w:val="center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         </w:t>
      </w:r>
      <w:r>
        <w:rPr>
          <w:bCs/>
        </w:rPr>
        <w:t xml:space="preserve">               </w:t>
      </w:r>
      <w:r w:rsidR="000D51CF">
        <w:rPr>
          <w:bCs/>
          <w:lang w:val="sr-Cyrl-CS"/>
        </w:rPr>
        <w:t>PREDSEDNIK</w:t>
      </w:r>
    </w:p>
    <w:p w:rsidR="00857E29" w:rsidRPr="00C434E8" w:rsidRDefault="000D51CF" w:rsidP="00857E29">
      <w:pPr>
        <w:tabs>
          <w:tab w:val="left" w:pos="720"/>
          <w:tab w:val="left" w:pos="7680"/>
        </w:tabs>
        <w:spacing w:after="120"/>
        <w:jc w:val="right"/>
      </w:pPr>
      <w:r>
        <w:rPr>
          <w:bCs/>
          <w:lang w:val="sr-Cyrl-CS"/>
        </w:rPr>
        <w:t>Jelena</w:t>
      </w:r>
      <w:r w:rsidR="00857E29">
        <w:rPr>
          <w:bCs/>
          <w:lang w:val="sr-Cyrl-CS"/>
        </w:rPr>
        <w:t xml:space="preserve"> </w:t>
      </w:r>
      <w:r>
        <w:rPr>
          <w:bCs/>
          <w:lang w:val="sr-Cyrl-CS"/>
        </w:rPr>
        <w:t>Žarić</w:t>
      </w:r>
      <w:r w:rsidR="00857E29">
        <w:rPr>
          <w:bCs/>
          <w:lang w:val="sr-Cyrl-CS"/>
        </w:rPr>
        <w:t xml:space="preserve"> </w:t>
      </w:r>
      <w:r>
        <w:rPr>
          <w:bCs/>
          <w:lang w:val="sr-Cyrl-CS"/>
        </w:rPr>
        <w:t>Kovačević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D3" w:rsidRDefault="002603D3" w:rsidP="000D51CF">
      <w:r>
        <w:separator/>
      </w:r>
    </w:p>
  </w:endnote>
  <w:endnote w:type="continuationSeparator" w:id="0">
    <w:p w:rsidR="002603D3" w:rsidRDefault="002603D3" w:rsidP="000D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D3" w:rsidRDefault="002603D3" w:rsidP="000D51CF">
      <w:r>
        <w:separator/>
      </w:r>
    </w:p>
  </w:footnote>
  <w:footnote w:type="continuationSeparator" w:id="0">
    <w:p w:rsidR="002603D3" w:rsidRDefault="002603D3" w:rsidP="000D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CF" w:rsidRDefault="000D5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9"/>
    <w:rsid w:val="00095C4D"/>
    <w:rsid w:val="000D51CF"/>
    <w:rsid w:val="00151130"/>
    <w:rsid w:val="001F2708"/>
    <w:rsid w:val="001F3724"/>
    <w:rsid w:val="0020728A"/>
    <w:rsid w:val="002603D3"/>
    <w:rsid w:val="0026725C"/>
    <w:rsid w:val="002D4EB6"/>
    <w:rsid w:val="0031406C"/>
    <w:rsid w:val="00360496"/>
    <w:rsid w:val="00375403"/>
    <w:rsid w:val="00396C75"/>
    <w:rsid w:val="003A3846"/>
    <w:rsid w:val="00445605"/>
    <w:rsid w:val="00452A4B"/>
    <w:rsid w:val="004B0DB5"/>
    <w:rsid w:val="00536E38"/>
    <w:rsid w:val="005371A8"/>
    <w:rsid w:val="00542E95"/>
    <w:rsid w:val="005B1C83"/>
    <w:rsid w:val="005D10BE"/>
    <w:rsid w:val="006308B5"/>
    <w:rsid w:val="00694559"/>
    <w:rsid w:val="006B50D4"/>
    <w:rsid w:val="006F31B2"/>
    <w:rsid w:val="00723F3C"/>
    <w:rsid w:val="00777699"/>
    <w:rsid w:val="007A25C3"/>
    <w:rsid w:val="007C28DB"/>
    <w:rsid w:val="00857E29"/>
    <w:rsid w:val="00880930"/>
    <w:rsid w:val="008A063C"/>
    <w:rsid w:val="008B6C42"/>
    <w:rsid w:val="008D3892"/>
    <w:rsid w:val="009939F1"/>
    <w:rsid w:val="009A387D"/>
    <w:rsid w:val="009F58E8"/>
    <w:rsid w:val="00AC7DE0"/>
    <w:rsid w:val="00B02F06"/>
    <w:rsid w:val="00B067BF"/>
    <w:rsid w:val="00B26C59"/>
    <w:rsid w:val="00B403D6"/>
    <w:rsid w:val="00B77195"/>
    <w:rsid w:val="00B77BC9"/>
    <w:rsid w:val="00BB070D"/>
    <w:rsid w:val="00BC3CD7"/>
    <w:rsid w:val="00C13A5C"/>
    <w:rsid w:val="00C366A1"/>
    <w:rsid w:val="00CF7A55"/>
    <w:rsid w:val="00D032D3"/>
    <w:rsid w:val="00D55484"/>
    <w:rsid w:val="00DE4A59"/>
    <w:rsid w:val="00E91B3E"/>
    <w:rsid w:val="00EB685D"/>
    <w:rsid w:val="00F140BA"/>
    <w:rsid w:val="00F82BBD"/>
    <w:rsid w:val="00FA7D41"/>
    <w:rsid w:val="00FB6EA0"/>
    <w:rsid w:val="00FD36C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29"/>
    <w:pPr>
      <w:tabs>
        <w:tab w:val="left" w:pos="1418"/>
      </w:tabs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E29"/>
    <w:pPr>
      <w:jc w:val="left"/>
    </w:pPr>
    <w:rPr>
      <w:rFonts w:eastAsia="Calibri" w:cs="Times New Roman"/>
      <w:szCs w:val="24"/>
    </w:rPr>
  </w:style>
  <w:style w:type="character" w:customStyle="1" w:styleId="FontStyle22">
    <w:name w:val="Font Style22"/>
    <w:basedOn w:val="DefaultParagraphFont"/>
    <w:uiPriority w:val="99"/>
    <w:rsid w:val="00857E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857E2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857E2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857E29"/>
    <w:pPr>
      <w:widowControl w:val="0"/>
      <w:tabs>
        <w:tab w:val="clear" w:pos="1418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Normal"/>
    <w:uiPriority w:val="99"/>
    <w:rsid w:val="00857E29"/>
    <w:pPr>
      <w:widowControl w:val="0"/>
      <w:tabs>
        <w:tab w:val="clear" w:pos="1418"/>
      </w:tabs>
      <w:autoSpaceDE w:val="0"/>
      <w:autoSpaceDN w:val="0"/>
      <w:adjustRightInd w:val="0"/>
      <w:spacing w:line="274" w:lineRule="exact"/>
      <w:ind w:firstLine="1411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857E29"/>
    <w:rPr>
      <w:rFonts w:ascii="Times New Roman" w:hAnsi="Times New Roman" w:cs="Times New Roman"/>
      <w:b/>
      <w:bCs/>
      <w:color w:val="000000"/>
      <w:spacing w:val="-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1CF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1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1CF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1C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29"/>
    <w:pPr>
      <w:tabs>
        <w:tab w:val="left" w:pos="1418"/>
      </w:tabs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E29"/>
    <w:pPr>
      <w:jc w:val="left"/>
    </w:pPr>
    <w:rPr>
      <w:rFonts w:eastAsia="Calibri" w:cs="Times New Roman"/>
      <w:szCs w:val="24"/>
    </w:rPr>
  </w:style>
  <w:style w:type="character" w:customStyle="1" w:styleId="FontStyle22">
    <w:name w:val="Font Style22"/>
    <w:basedOn w:val="DefaultParagraphFont"/>
    <w:uiPriority w:val="99"/>
    <w:rsid w:val="00857E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857E2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857E2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857E29"/>
    <w:pPr>
      <w:widowControl w:val="0"/>
      <w:tabs>
        <w:tab w:val="clear" w:pos="1418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Normal"/>
    <w:uiPriority w:val="99"/>
    <w:rsid w:val="00857E29"/>
    <w:pPr>
      <w:widowControl w:val="0"/>
      <w:tabs>
        <w:tab w:val="clear" w:pos="1418"/>
      </w:tabs>
      <w:autoSpaceDE w:val="0"/>
      <w:autoSpaceDN w:val="0"/>
      <w:adjustRightInd w:val="0"/>
      <w:spacing w:line="274" w:lineRule="exact"/>
      <w:ind w:firstLine="1411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857E29"/>
    <w:rPr>
      <w:rFonts w:ascii="Times New Roman" w:hAnsi="Times New Roman" w:cs="Times New Roman"/>
      <w:b/>
      <w:bCs/>
      <w:color w:val="000000"/>
      <w:spacing w:val="-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1CF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1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1CF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1C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2023-10-26T08:08:00Z</cp:lastPrinted>
  <dcterms:created xsi:type="dcterms:W3CDTF">2023-11-07T13:45:00Z</dcterms:created>
  <dcterms:modified xsi:type="dcterms:W3CDTF">2023-11-07T13:45:00Z</dcterms:modified>
</cp:coreProperties>
</file>